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16" w:type="dxa"/>
        <w:tblInd w:w="-34" w:type="dxa"/>
        <w:tblLook w:val="01E0" w:firstRow="1" w:lastRow="1" w:firstColumn="1" w:lastColumn="1" w:noHBand="0" w:noVBand="0"/>
      </w:tblPr>
      <w:tblGrid>
        <w:gridCol w:w="9516"/>
      </w:tblGrid>
      <w:tr w:rsidR="005F365B" w:rsidRPr="005F365B" w14:paraId="3DEAAA9B" w14:textId="77777777" w:rsidTr="00470C57">
        <w:tc>
          <w:tcPr>
            <w:tcW w:w="9516" w:type="dxa"/>
          </w:tcPr>
          <w:p w14:paraId="071EA69E" w14:textId="77777777" w:rsidR="005F365B" w:rsidRPr="005F365B" w:rsidRDefault="005F365B" w:rsidP="005F365B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0"/>
                <w:lang w:val="x-none"/>
              </w:rPr>
            </w:pPr>
            <w:bookmarkStart w:id="0" w:name="_Hlk157361268"/>
            <w:r w:rsidRPr="005F365B">
              <w:rPr>
                <w:rFonts w:ascii="Calibri" w:eastAsia="Times New Roman" w:hAnsi="Calibri" w:cs="Calibri"/>
                <w:b/>
                <w:bCs/>
                <w:noProof/>
                <w:sz w:val="28"/>
                <w:szCs w:val="20"/>
                <w:lang w:eastAsia="el-GR"/>
              </w:rPr>
              <w:drawing>
                <wp:inline distT="0" distB="0" distL="0" distR="0" wp14:anchorId="23C1B9B4" wp14:editId="59FDF173">
                  <wp:extent cx="5349240" cy="1296009"/>
                  <wp:effectExtent l="0" t="0" r="0" b="0"/>
                  <wp:docPr id="874626601" name="Picture 2" descr="A black text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black text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477"/>
                          <a:stretch/>
                        </pic:blipFill>
                        <pic:spPr bwMode="auto">
                          <a:xfrm>
                            <a:off x="0" y="0"/>
                            <a:ext cx="5381545" cy="13038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9FC06A" w14:textId="77777777" w:rsidR="005F365B" w:rsidRPr="005F365B" w:rsidRDefault="005F365B" w:rsidP="005F365B">
      <w:pPr>
        <w:widowControl w:val="0"/>
        <w:autoSpaceDE w:val="0"/>
        <w:autoSpaceDN w:val="0"/>
        <w:spacing w:after="120" w:line="240" w:lineRule="auto"/>
        <w:jc w:val="both"/>
        <w:rPr>
          <w:rFonts w:ascii="Calibri" w:eastAsia="Times New Roman" w:hAnsi="Calibri" w:cs="Calibri"/>
          <w:sz w:val="20"/>
          <w:lang w:val="en-US"/>
        </w:rPr>
      </w:pPr>
    </w:p>
    <w:p w14:paraId="01A5A6FC" w14:textId="77777777" w:rsidR="005F365B" w:rsidRPr="005F365B" w:rsidRDefault="005F365B" w:rsidP="005F365B">
      <w:pPr>
        <w:spacing w:after="120" w:line="240" w:lineRule="auto"/>
        <w:jc w:val="center"/>
        <w:rPr>
          <w:rFonts w:ascii="Calibri" w:eastAsia="Times New Roman" w:hAnsi="Calibri" w:cs="Calibri"/>
          <w:b/>
          <w:bCs/>
          <w:sz w:val="40"/>
          <w:szCs w:val="48"/>
        </w:rPr>
      </w:pPr>
    </w:p>
    <w:p w14:paraId="4B03CA6B" w14:textId="77777777" w:rsidR="005F365B" w:rsidRPr="005F365B" w:rsidRDefault="005F365B" w:rsidP="005F365B">
      <w:pPr>
        <w:spacing w:after="120" w:line="240" w:lineRule="auto"/>
        <w:jc w:val="center"/>
        <w:rPr>
          <w:rFonts w:ascii="Calibri" w:eastAsia="Times New Roman" w:hAnsi="Calibri" w:cs="Calibri"/>
          <w:b/>
          <w:bCs/>
          <w:sz w:val="40"/>
          <w:szCs w:val="48"/>
        </w:rPr>
      </w:pPr>
    </w:p>
    <w:p w14:paraId="6B793F8A" w14:textId="77777777" w:rsidR="005F365B" w:rsidRPr="005F365B" w:rsidRDefault="005F365B" w:rsidP="005F365B">
      <w:pPr>
        <w:spacing w:after="120" w:line="240" w:lineRule="auto"/>
        <w:jc w:val="center"/>
        <w:rPr>
          <w:rFonts w:ascii="Calibri" w:eastAsia="Times New Roman" w:hAnsi="Calibri" w:cs="Calibri"/>
          <w:b/>
          <w:bCs/>
          <w:sz w:val="40"/>
          <w:szCs w:val="48"/>
        </w:rPr>
      </w:pPr>
      <w:r w:rsidRPr="005F365B">
        <w:rPr>
          <w:rFonts w:ascii="Calibri" w:eastAsia="Times New Roman" w:hAnsi="Calibri" w:cs="Calibri"/>
          <w:b/>
          <w:bCs/>
          <w:sz w:val="40"/>
          <w:szCs w:val="48"/>
        </w:rPr>
        <w:t>Σχολή Γεωπονίας και Τροφίμων</w:t>
      </w:r>
    </w:p>
    <w:p w14:paraId="2587802E" w14:textId="77777777" w:rsidR="005F365B" w:rsidRPr="005F365B" w:rsidRDefault="005F365B" w:rsidP="005F365B">
      <w:pPr>
        <w:spacing w:after="120" w:line="240" w:lineRule="auto"/>
        <w:jc w:val="center"/>
        <w:rPr>
          <w:rFonts w:ascii="Calibri" w:eastAsia="Times New Roman" w:hAnsi="Calibri" w:cs="Calibri"/>
          <w:b/>
          <w:bCs/>
          <w:sz w:val="40"/>
          <w:szCs w:val="48"/>
          <w:lang w:eastAsia="ar-SA"/>
        </w:rPr>
      </w:pPr>
      <w:r w:rsidRPr="005F365B">
        <w:rPr>
          <w:rFonts w:ascii="Calibri" w:eastAsia="Times New Roman" w:hAnsi="Calibri" w:cs="Calibri"/>
          <w:b/>
          <w:bCs/>
          <w:sz w:val="40"/>
          <w:szCs w:val="48"/>
          <w:lang w:eastAsia="ar-SA"/>
        </w:rPr>
        <w:t>Τμήμα Επιστήμης και Τεχνολογίας Τροφίμων</w:t>
      </w:r>
    </w:p>
    <w:p w14:paraId="5A4D1FAE" w14:textId="47242ED8" w:rsidR="005F365B" w:rsidRPr="007C580B" w:rsidRDefault="009557CE" w:rsidP="005F365B">
      <w:pPr>
        <w:spacing w:after="120" w:line="240" w:lineRule="auto"/>
        <w:jc w:val="center"/>
        <w:rPr>
          <w:rFonts w:ascii="Calibri" w:eastAsia="Times New Roman" w:hAnsi="Calibri" w:cs="Calibri"/>
          <w:b/>
          <w:bCs/>
          <w:sz w:val="40"/>
          <w:szCs w:val="48"/>
          <w:lang w:val="en-US" w:eastAsia="ar-SA"/>
        </w:rPr>
      </w:pPr>
      <w:r>
        <w:rPr>
          <w:rFonts w:ascii="Calibri" w:eastAsia="Times New Roman" w:hAnsi="Calibri" w:cs="Calibri"/>
          <w:b/>
          <w:bCs/>
          <w:sz w:val="40"/>
          <w:szCs w:val="48"/>
          <w:lang w:eastAsia="ar-SA"/>
        </w:rPr>
        <w:t>ΠΜΣ</w:t>
      </w:r>
      <w:r w:rsidR="005F365B" w:rsidRPr="007C580B">
        <w:rPr>
          <w:rFonts w:ascii="Calibri" w:eastAsia="Times New Roman" w:hAnsi="Calibri" w:cs="Calibri"/>
          <w:b/>
          <w:bCs/>
          <w:sz w:val="40"/>
          <w:szCs w:val="48"/>
          <w:lang w:val="en-US" w:eastAsia="ar-SA"/>
        </w:rPr>
        <w:t xml:space="preserve"> «</w:t>
      </w:r>
      <w:r w:rsidR="007C580B" w:rsidRPr="007C580B">
        <w:rPr>
          <w:rFonts w:ascii="Calibri" w:eastAsia="Times New Roman" w:hAnsi="Calibri" w:cs="Calibri"/>
          <w:b/>
          <w:bCs/>
          <w:sz w:val="40"/>
          <w:szCs w:val="48"/>
          <w:lang w:val="en-US" w:eastAsia="ar-SA"/>
        </w:rPr>
        <w:t xml:space="preserve">Sustainable </w:t>
      </w:r>
      <w:proofErr w:type="spellStart"/>
      <w:r w:rsidR="007C580B" w:rsidRPr="007C580B">
        <w:rPr>
          <w:rFonts w:ascii="Calibri" w:eastAsia="Times New Roman" w:hAnsi="Calibri" w:cs="Calibri"/>
          <w:b/>
          <w:bCs/>
          <w:sz w:val="40"/>
          <w:szCs w:val="48"/>
          <w:lang w:val="en-US" w:eastAsia="ar-SA"/>
        </w:rPr>
        <w:t>agrosystems</w:t>
      </w:r>
      <w:proofErr w:type="spellEnd"/>
      <w:r w:rsidR="007C580B" w:rsidRPr="007C580B">
        <w:rPr>
          <w:rFonts w:ascii="Calibri" w:eastAsia="Times New Roman" w:hAnsi="Calibri" w:cs="Calibri"/>
          <w:b/>
          <w:bCs/>
          <w:sz w:val="40"/>
          <w:szCs w:val="48"/>
          <w:lang w:val="en-US" w:eastAsia="ar-SA"/>
        </w:rPr>
        <w:t xml:space="preserve"> for quality mediterranean foods</w:t>
      </w:r>
      <w:r w:rsidR="005F365B" w:rsidRPr="007C580B">
        <w:rPr>
          <w:rFonts w:ascii="Calibri" w:eastAsia="Times New Roman" w:hAnsi="Calibri" w:cs="Calibri"/>
          <w:b/>
          <w:bCs/>
          <w:sz w:val="40"/>
          <w:szCs w:val="48"/>
          <w:lang w:val="en-US" w:eastAsia="ar-SA"/>
        </w:rPr>
        <w:t>»</w:t>
      </w:r>
    </w:p>
    <w:p w14:paraId="5BC52E2D" w14:textId="77777777" w:rsidR="005F365B" w:rsidRPr="007C580B" w:rsidRDefault="005F365B" w:rsidP="005F365B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n-US" w:eastAsia="ar-SA"/>
        </w:rPr>
      </w:pPr>
    </w:p>
    <w:p w14:paraId="368957A1" w14:textId="77777777" w:rsidR="005F365B" w:rsidRPr="007C580B" w:rsidRDefault="005F365B" w:rsidP="005F365B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lang w:val="en-US"/>
        </w:rPr>
      </w:pPr>
      <w:r w:rsidRPr="005F365B">
        <w:rPr>
          <w:rFonts w:ascii="Times New Roman" w:eastAsia="Times New Roman" w:hAnsi="Times New Roman" w:cs="Times New Roman"/>
          <w:noProof/>
          <w:sz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4B86B" wp14:editId="61C3D36F">
                <wp:simplePos x="0" y="0"/>
                <wp:positionH relativeFrom="page">
                  <wp:posOffset>-47625</wp:posOffset>
                </wp:positionH>
                <wp:positionV relativeFrom="paragraph">
                  <wp:posOffset>278765</wp:posOffset>
                </wp:positionV>
                <wp:extent cx="7839075" cy="1266825"/>
                <wp:effectExtent l="0" t="0" r="28575" b="28575"/>
                <wp:wrapNone/>
                <wp:docPr id="88333587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9075" cy="126682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E8D97" w14:textId="06596C63" w:rsidR="005F365B" w:rsidRPr="00A82B82" w:rsidRDefault="009557CE" w:rsidP="005F365B">
                            <w:pPr>
                              <w:ind w:left="885" w:right="578"/>
                              <w:jc w:val="center"/>
                              <w:rPr>
                                <w:b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36"/>
                                <w:szCs w:val="24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b/>
                                <w:spacing w:val="-5"/>
                                <w:sz w:val="36"/>
                                <w:szCs w:val="24"/>
                              </w:rPr>
                              <w:t>4</w:t>
                            </w:r>
                            <w:r w:rsidR="005F365B">
                              <w:rPr>
                                <w:b/>
                                <w:spacing w:val="-5"/>
                                <w:sz w:val="36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5"/>
                                <w:sz w:val="36"/>
                                <w:szCs w:val="24"/>
                              </w:rPr>
                              <w:t>4</w:t>
                            </w:r>
                            <w:r w:rsidR="005F365B" w:rsidRPr="00A82B82">
                              <w:rPr>
                                <w:b/>
                                <w:spacing w:val="-5"/>
                                <w:sz w:val="36"/>
                                <w:szCs w:val="24"/>
                              </w:rPr>
                              <w:t xml:space="preserve"> </w:t>
                            </w:r>
                            <w:r w:rsidR="005F365B" w:rsidRPr="005F365B">
                              <w:rPr>
                                <w:b/>
                                <w:spacing w:val="-5"/>
                                <w:sz w:val="36"/>
                                <w:szCs w:val="24"/>
                              </w:rPr>
                              <w:t>Κανονισμός λειτουργίας θεσμού ακαδημαϊκού συμβούλου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24B86B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-3.75pt;margin-top:21.95pt;width:617.2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" fillcolor="#c3d69b">
                <v:textbox inset="0,0,0,0">
                  <w:txbxContent>
                    <w:p w14:paraId="7A0E8D97" w14:textId="06596C63" w:rsidR="005F365B" w:rsidRPr="00A82B82" w:rsidRDefault="009557CE" w:rsidP="005F365B">
                      <w:pPr>
                        <w:ind w:left="885" w:right="578"/>
                        <w:jc w:val="center"/>
                        <w:rPr>
                          <w:b/>
                          <w:sz w:val="36"/>
                          <w:szCs w:val="24"/>
                        </w:rPr>
                      </w:pPr>
                      <w:r>
                        <w:rPr>
                          <w:b/>
                          <w:spacing w:val="-5"/>
                          <w:sz w:val="36"/>
                          <w:szCs w:val="24"/>
                          <w:lang w:val="en-US"/>
                        </w:rPr>
                        <w:t>D</w:t>
                      </w:r>
                      <w:r>
                        <w:rPr>
                          <w:b/>
                          <w:spacing w:val="-5"/>
                          <w:sz w:val="36"/>
                          <w:szCs w:val="24"/>
                        </w:rPr>
                        <w:t>4</w:t>
                      </w:r>
                      <w:r w:rsidR="005F365B">
                        <w:rPr>
                          <w:b/>
                          <w:spacing w:val="-5"/>
                          <w:sz w:val="36"/>
                          <w:szCs w:val="24"/>
                        </w:rPr>
                        <w:t>.</w:t>
                      </w:r>
                      <w:r>
                        <w:rPr>
                          <w:b/>
                          <w:spacing w:val="-5"/>
                          <w:sz w:val="36"/>
                          <w:szCs w:val="24"/>
                        </w:rPr>
                        <w:t>4</w:t>
                      </w:r>
                      <w:r w:rsidR="005F365B" w:rsidRPr="00A82B82">
                        <w:rPr>
                          <w:b/>
                          <w:spacing w:val="-5"/>
                          <w:sz w:val="36"/>
                          <w:szCs w:val="24"/>
                        </w:rPr>
                        <w:t xml:space="preserve"> </w:t>
                      </w:r>
                      <w:r w:rsidR="005F365B" w:rsidRPr="005F365B">
                        <w:rPr>
                          <w:b/>
                          <w:spacing w:val="-5"/>
                          <w:sz w:val="36"/>
                          <w:szCs w:val="24"/>
                        </w:rPr>
                        <w:t>Κανονισμός λειτουργίας θεσμού ακαδημαϊκού συμβούλου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DF388D0" w14:textId="77777777" w:rsidR="005F365B" w:rsidRPr="007C580B" w:rsidRDefault="005F365B" w:rsidP="005F365B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lang w:val="en-US"/>
        </w:rPr>
      </w:pPr>
    </w:p>
    <w:p w14:paraId="12D47ECA" w14:textId="77777777" w:rsidR="005F365B" w:rsidRPr="007C580B" w:rsidRDefault="005F365B" w:rsidP="005F365B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lang w:val="en-US"/>
        </w:rPr>
      </w:pPr>
    </w:p>
    <w:p w14:paraId="7D10BC15" w14:textId="77777777" w:rsidR="005F365B" w:rsidRPr="007C580B" w:rsidRDefault="005F365B" w:rsidP="005F365B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lang w:val="en-US"/>
        </w:rPr>
      </w:pPr>
    </w:p>
    <w:p w14:paraId="060C7462" w14:textId="77777777" w:rsidR="005F365B" w:rsidRPr="007C580B" w:rsidRDefault="005F365B" w:rsidP="005F365B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lang w:val="en-US"/>
        </w:rPr>
      </w:pPr>
    </w:p>
    <w:p w14:paraId="26D985BB" w14:textId="77777777" w:rsidR="005F365B" w:rsidRPr="007C580B" w:rsidRDefault="005F365B" w:rsidP="005F365B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lang w:val="en-US"/>
        </w:rPr>
      </w:pPr>
    </w:p>
    <w:p w14:paraId="01EC1E45" w14:textId="77777777" w:rsidR="005F365B" w:rsidRPr="007C580B" w:rsidRDefault="005F365B" w:rsidP="005F365B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lang w:val="en-US"/>
        </w:rPr>
      </w:pPr>
    </w:p>
    <w:p w14:paraId="5A51ED8B" w14:textId="77777777" w:rsidR="005F365B" w:rsidRPr="007C580B" w:rsidRDefault="005F365B" w:rsidP="005F365B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lang w:val="en-US"/>
        </w:rPr>
      </w:pPr>
    </w:p>
    <w:p w14:paraId="1412DB59" w14:textId="77777777" w:rsidR="005F365B" w:rsidRPr="007C580B" w:rsidRDefault="005F365B" w:rsidP="005F365B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lang w:val="en-US"/>
        </w:rPr>
      </w:pPr>
    </w:p>
    <w:p w14:paraId="32759463" w14:textId="77777777" w:rsidR="005F365B" w:rsidRPr="007C580B" w:rsidRDefault="005F365B" w:rsidP="005F365B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lang w:val="en-US"/>
        </w:rPr>
      </w:pPr>
    </w:p>
    <w:p w14:paraId="63CA7680" w14:textId="77777777" w:rsidR="005F365B" w:rsidRPr="007C580B" w:rsidRDefault="005F365B" w:rsidP="005F365B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lang w:val="en-US"/>
        </w:rPr>
      </w:pPr>
    </w:p>
    <w:p w14:paraId="6930F2DA" w14:textId="77777777" w:rsidR="005F365B" w:rsidRPr="007C580B" w:rsidRDefault="005F365B" w:rsidP="005F365B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lang w:val="en-US"/>
        </w:rPr>
      </w:pPr>
    </w:p>
    <w:p w14:paraId="15E173AF" w14:textId="77777777" w:rsidR="005F365B" w:rsidRPr="007C580B" w:rsidRDefault="005F365B" w:rsidP="005F365B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lang w:val="en-US"/>
        </w:rPr>
      </w:pPr>
    </w:p>
    <w:p w14:paraId="051FB5ED" w14:textId="77777777" w:rsidR="005F365B" w:rsidRPr="007C580B" w:rsidRDefault="005F365B" w:rsidP="005F365B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lang w:val="en-US"/>
        </w:rPr>
      </w:pPr>
    </w:p>
    <w:p w14:paraId="2C93052A" w14:textId="77777777" w:rsidR="005F365B" w:rsidRPr="007C580B" w:rsidRDefault="005F365B" w:rsidP="005F365B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lang w:val="en-US"/>
        </w:rPr>
      </w:pPr>
    </w:p>
    <w:p w14:paraId="1F39DB5A" w14:textId="77777777" w:rsidR="005F365B" w:rsidRPr="007C580B" w:rsidRDefault="005F365B" w:rsidP="005F365B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lang w:val="en-US"/>
        </w:rPr>
      </w:pPr>
    </w:p>
    <w:p w14:paraId="09A0BCED" w14:textId="77777777" w:rsidR="005F365B" w:rsidRPr="007C580B" w:rsidRDefault="005F365B" w:rsidP="005F365B">
      <w:pPr>
        <w:widowControl w:val="0"/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lang w:val="en-US"/>
        </w:rPr>
      </w:pPr>
    </w:p>
    <w:bookmarkEnd w:id="0"/>
    <w:p w14:paraId="59C3F7C8" w14:textId="77777777" w:rsidR="00D973AB" w:rsidRPr="00FF0E1D" w:rsidRDefault="00D973AB" w:rsidP="00D973AB">
      <w:pPr>
        <w:widowControl w:val="0"/>
        <w:autoSpaceDE w:val="0"/>
        <w:autoSpaceDN w:val="0"/>
        <w:spacing w:before="56" w:after="120" w:line="240" w:lineRule="auto"/>
        <w:ind w:right="116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???????????</w:t>
      </w:r>
      <w:r w:rsidRPr="006F0262">
        <w:rPr>
          <w:rFonts w:ascii="Times New Roman" w:eastAsia="Times New Roman" w:hAnsi="Times New Roman" w:cs="Times New Roman"/>
          <w:b/>
          <w:sz w:val="32"/>
          <w:szCs w:val="32"/>
        </w:rPr>
        <w:t xml:space="preserve"> 202</w:t>
      </w:r>
      <w:r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6</w:t>
      </w:r>
    </w:p>
    <w:p w14:paraId="1A790E0C" w14:textId="77777777" w:rsidR="00A8258F" w:rsidRDefault="00A8258F" w:rsidP="005F365B">
      <w:pPr>
        <w:widowControl w:val="0"/>
        <w:autoSpaceDE w:val="0"/>
        <w:autoSpaceDN w:val="0"/>
        <w:spacing w:before="56" w:after="120" w:line="240" w:lineRule="auto"/>
        <w:ind w:right="116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/>
        </w:rPr>
      </w:pPr>
    </w:p>
    <w:p w14:paraId="538AD961" w14:textId="77777777" w:rsidR="00A8258F" w:rsidRPr="00A8258F" w:rsidRDefault="00A8258F" w:rsidP="00A8258F">
      <w:pPr>
        <w:rPr>
          <w:rFonts w:ascii="Calibri" w:eastAsia="Calibri" w:hAnsi="Calibri" w:cs="Arial"/>
          <w:noProof/>
          <w:sz w:val="24"/>
          <w:szCs w:val="24"/>
        </w:rPr>
      </w:pPr>
    </w:p>
    <w:p w14:paraId="10C23828" w14:textId="2E88549C" w:rsidR="00A8258F" w:rsidRPr="00A8258F" w:rsidRDefault="00A8258F" w:rsidP="007C580B">
      <w:pPr>
        <w:jc w:val="center"/>
        <w:rPr>
          <w:rFonts w:ascii="Calibri" w:eastAsia="Calibri" w:hAnsi="Calibri" w:cs="Times New Roman"/>
        </w:rPr>
      </w:pPr>
      <w:r w:rsidRPr="00A8258F">
        <w:rPr>
          <w:rFonts w:ascii="Calibri" w:eastAsia="Calibri" w:hAnsi="Calibri" w:cs="Arial"/>
          <w:noProof/>
          <w:sz w:val="24"/>
          <w:szCs w:val="24"/>
        </w:rPr>
        <w:drawing>
          <wp:inline distT="0" distB="0" distL="0" distR="0" wp14:anchorId="487F37C2" wp14:editId="02D62D5C">
            <wp:extent cx="3000375" cy="733425"/>
            <wp:effectExtent l="0" t="0" r="0" b="0"/>
            <wp:docPr id="1882220993" name="Εικόνα 2" descr="A black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459498326" descr="A black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DF3B5" w14:textId="77777777" w:rsidR="007C580B" w:rsidRDefault="007C580B" w:rsidP="00A8258F">
      <w:pPr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2226FF2C" w14:textId="77777777" w:rsidR="007C580B" w:rsidRDefault="007C580B" w:rsidP="00A8258F">
      <w:pPr>
        <w:rPr>
          <w:rFonts w:ascii="Calibri" w:eastAsia="Calibri" w:hAnsi="Calibri" w:cs="Times New Roman"/>
          <w:b/>
          <w:bCs/>
          <w:sz w:val="28"/>
          <w:szCs w:val="28"/>
        </w:rPr>
      </w:pPr>
    </w:p>
    <w:p w14:paraId="4D180C95" w14:textId="77777777" w:rsidR="007C580B" w:rsidRPr="005F365B" w:rsidRDefault="007C580B" w:rsidP="007C580B">
      <w:pPr>
        <w:spacing w:after="120" w:line="240" w:lineRule="auto"/>
        <w:jc w:val="center"/>
        <w:rPr>
          <w:rFonts w:ascii="Calibri" w:eastAsia="Times New Roman" w:hAnsi="Calibri" w:cs="Calibri"/>
          <w:b/>
          <w:bCs/>
          <w:sz w:val="40"/>
          <w:szCs w:val="48"/>
        </w:rPr>
      </w:pPr>
      <w:r w:rsidRPr="005F365B">
        <w:rPr>
          <w:rFonts w:ascii="Calibri" w:eastAsia="Times New Roman" w:hAnsi="Calibri" w:cs="Calibri"/>
          <w:b/>
          <w:bCs/>
          <w:sz w:val="40"/>
          <w:szCs w:val="48"/>
        </w:rPr>
        <w:t>Σχολή Γεωπονίας και Τροφίμων</w:t>
      </w:r>
    </w:p>
    <w:p w14:paraId="2EA7828D" w14:textId="77777777" w:rsidR="007C580B" w:rsidRPr="005F365B" w:rsidRDefault="007C580B" w:rsidP="007C580B">
      <w:pPr>
        <w:spacing w:after="120" w:line="240" w:lineRule="auto"/>
        <w:jc w:val="center"/>
        <w:rPr>
          <w:rFonts w:ascii="Calibri" w:eastAsia="Times New Roman" w:hAnsi="Calibri" w:cs="Calibri"/>
          <w:b/>
          <w:bCs/>
          <w:sz w:val="40"/>
          <w:szCs w:val="48"/>
          <w:lang w:eastAsia="ar-SA"/>
        </w:rPr>
      </w:pPr>
      <w:r w:rsidRPr="005F365B">
        <w:rPr>
          <w:rFonts w:ascii="Calibri" w:eastAsia="Times New Roman" w:hAnsi="Calibri" w:cs="Calibri"/>
          <w:b/>
          <w:bCs/>
          <w:sz w:val="40"/>
          <w:szCs w:val="48"/>
          <w:lang w:eastAsia="ar-SA"/>
        </w:rPr>
        <w:t>Τμήμα Επιστήμης και Τεχνολογίας Τροφίμων</w:t>
      </w:r>
    </w:p>
    <w:p w14:paraId="6694FA65" w14:textId="58006144" w:rsidR="00A8258F" w:rsidRPr="007C580B" w:rsidRDefault="009557CE" w:rsidP="007C580B">
      <w:pPr>
        <w:jc w:val="center"/>
        <w:rPr>
          <w:rFonts w:ascii="Century Gothic" w:eastAsia="Calibri" w:hAnsi="Century Gothic" w:cs="Times New Roman"/>
          <w:b/>
          <w:lang w:val="en-US"/>
        </w:rPr>
      </w:pPr>
      <w:r>
        <w:rPr>
          <w:rFonts w:ascii="Calibri" w:eastAsia="Times New Roman" w:hAnsi="Calibri" w:cs="Calibri"/>
          <w:b/>
          <w:bCs/>
          <w:sz w:val="40"/>
          <w:szCs w:val="48"/>
          <w:lang w:eastAsia="ar-SA"/>
        </w:rPr>
        <w:t>ΠΜΣ</w:t>
      </w:r>
      <w:r w:rsidR="007C580B" w:rsidRPr="007C580B">
        <w:rPr>
          <w:rFonts w:ascii="Calibri" w:eastAsia="Times New Roman" w:hAnsi="Calibri" w:cs="Calibri"/>
          <w:b/>
          <w:bCs/>
          <w:sz w:val="40"/>
          <w:szCs w:val="48"/>
          <w:lang w:val="en-US" w:eastAsia="ar-SA"/>
        </w:rPr>
        <w:t xml:space="preserve"> «Sustainable </w:t>
      </w:r>
      <w:proofErr w:type="spellStart"/>
      <w:r w:rsidR="007C580B" w:rsidRPr="007C580B">
        <w:rPr>
          <w:rFonts w:ascii="Calibri" w:eastAsia="Times New Roman" w:hAnsi="Calibri" w:cs="Calibri"/>
          <w:b/>
          <w:bCs/>
          <w:sz w:val="40"/>
          <w:szCs w:val="48"/>
          <w:lang w:val="en-US" w:eastAsia="ar-SA"/>
        </w:rPr>
        <w:t>agrosystems</w:t>
      </w:r>
      <w:proofErr w:type="spellEnd"/>
      <w:r w:rsidR="007C580B" w:rsidRPr="007C580B">
        <w:rPr>
          <w:rFonts w:ascii="Calibri" w:eastAsia="Times New Roman" w:hAnsi="Calibri" w:cs="Calibri"/>
          <w:b/>
          <w:bCs/>
          <w:sz w:val="40"/>
          <w:szCs w:val="48"/>
          <w:lang w:val="en-US" w:eastAsia="ar-SA"/>
        </w:rPr>
        <w:t xml:space="preserve"> for quality mediterranean foods»</w:t>
      </w:r>
      <w:r w:rsidR="00A8258F" w:rsidRPr="007C580B">
        <w:rPr>
          <w:rFonts w:ascii="Century Gothic" w:eastAsia="Calibri" w:hAnsi="Century Gothic" w:cs="Times New Roman"/>
          <w:b/>
          <w:lang w:val="en-US"/>
        </w:rPr>
        <w:t xml:space="preserve"> </w:t>
      </w:r>
    </w:p>
    <w:p w14:paraId="7C56D26C" w14:textId="77777777" w:rsidR="00A8258F" w:rsidRPr="007C580B" w:rsidRDefault="00A8258F" w:rsidP="00A8258F">
      <w:pPr>
        <w:jc w:val="center"/>
        <w:rPr>
          <w:rFonts w:ascii="Century Gothic" w:eastAsia="Calibri" w:hAnsi="Century Gothic" w:cs="Times New Roman"/>
          <w:b/>
          <w:lang w:val="en-US"/>
        </w:rPr>
      </w:pPr>
    </w:p>
    <w:p w14:paraId="29D3825B" w14:textId="77777777" w:rsidR="00A8258F" w:rsidRPr="007C580B" w:rsidRDefault="00A8258F" w:rsidP="00A8258F">
      <w:pPr>
        <w:jc w:val="both"/>
        <w:rPr>
          <w:rFonts w:ascii="Calibri" w:eastAsia="Calibri" w:hAnsi="Calibri" w:cs="Times New Roman"/>
          <w:b/>
          <w:bCs/>
          <w:lang w:val="en-US"/>
        </w:rPr>
      </w:pPr>
    </w:p>
    <w:p w14:paraId="1A8436B3" w14:textId="168317ED" w:rsidR="00A8258F" w:rsidRPr="00A8258F" w:rsidRDefault="00A8258F" w:rsidP="00A8258F">
      <w:pPr>
        <w:jc w:val="both"/>
        <w:rPr>
          <w:rFonts w:ascii="Calibri" w:eastAsia="Calibri" w:hAnsi="Calibri" w:cs="Times New Roman"/>
          <w:i/>
          <w:iCs/>
        </w:rPr>
      </w:pPr>
      <w:r w:rsidRPr="00A8258F">
        <w:rPr>
          <w:rFonts w:ascii="Calibri" w:eastAsia="Calibri" w:hAnsi="Calibri" w:cs="Times New Roman"/>
          <w:b/>
          <w:bCs/>
          <w:color w:val="4472C4"/>
          <w:sz w:val="36"/>
          <w:szCs w:val="36"/>
        </w:rPr>
        <w:t>Κανονισμός λειτουργίας θεσμού ακαδημαϊκού συμβούλου</w:t>
      </w:r>
    </w:p>
    <w:p w14:paraId="5D334073" w14:textId="77777777" w:rsidR="00A8258F" w:rsidRPr="00A8258F" w:rsidRDefault="00A8258F" w:rsidP="00A8258F">
      <w:pPr>
        <w:jc w:val="both"/>
        <w:rPr>
          <w:rFonts w:ascii="Calibri" w:eastAsia="Calibri" w:hAnsi="Calibri" w:cs="Times New Roman"/>
          <w:b/>
          <w:bCs/>
          <w:color w:val="4472C4"/>
          <w:sz w:val="24"/>
          <w:szCs w:val="24"/>
        </w:rPr>
      </w:pPr>
    </w:p>
    <w:p w14:paraId="123C6A4D" w14:textId="77777777" w:rsidR="00A8258F" w:rsidRPr="007C580B" w:rsidRDefault="00A8258F" w:rsidP="00A8258F">
      <w:pPr>
        <w:jc w:val="both"/>
        <w:rPr>
          <w:rFonts w:ascii="Calibri" w:eastAsia="Calibri" w:hAnsi="Calibri" w:cs="Times New Roman"/>
          <w:b/>
          <w:bCs/>
          <w:color w:val="4472C4"/>
          <w:sz w:val="24"/>
          <w:szCs w:val="24"/>
        </w:rPr>
      </w:pPr>
    </w:p>
    <w:p w14:paraId="11B52FF5" w14:textId="77777777" w:rsidR="00A8258F" w:rsidRPr="007C580B" w:rsidRDefault="00A8258F" w:rsidP="00A8258F">
      <w:pPr>
        <w:jc w:val="both"/>
        <w:rPr>
          <w:rFonts w:ascii="Calibri" w:eastAsia="Calibri" w:hAnsi="Calibri" w:cs="Times New Roman"/>
          <w:b/>
          <w:bCs/>
          <w:color w:val="4472C4"/>
          <w:sz w:val="24"/>
          <w:szCs w:val="24"/>
        </w:rPr>
      </w:pPr>
    </w:p>
    <w:p w14:paraId="0FD1B1B1" w14:textId="77777777" w:rsidR="00A8258F" w:rsidRPr="007C580B" w:rsidRDefault="00A8258F" w:rsidP="00A8258F">
      <w:pPr>
        <w:jc w:val="both"/>
        <w:rPr>
          <w:rFonts w:ascii="Calibri" w:eastAsia="Calibri" w:hAnsi="Calibri" w:cs="Times New Roman"/>
          <w:b/>
          <w:bCs/>
          <w:color w:val="4472C4"/>
          <w:sz w:val="24"/>
          <w:szCs w:val="24"/>
        </w:rPr>
      </w:pPr>
    </w:p>
    <w:p w14:paraId="4A5B14AA" w14:textId="77777777" w:rsidR="00A8258F" w:rsidRPr="007C580B" w:rsidRDefault="00A8258F" w:rsidP="00A8258F">
      <w:pPr>
        <w:jc w:val="both"/>
        <w:rPr>
          <w:rFonts w:ascii="Calibri" w:eastAsia="Calibri" w:hAnsi="Calibri" w:cs="Times New Roman"/>
          <w:b/>
          <w:bCs/>
          <w:color w:val="4472C4"/>
          <w:sz w:val="24"/>
          <w:szCs w:val="24"/>
        </w:rPr>
      </w:pPr>
    </w:p>
    <w:p w14:paraId="0D3595C1" w14:textId="77777777" w:rsidR="00A8258F" w:rsidRPr="00A8258F" w:rsidRDefault="00A8258F" w:rsidP="00A8258F">
      <w:pPr>
        <w:rPr>
          <w:rFonts w:ascii="Calibri" w:eastAsia="Calibri" w:hAnsi="Calibri" w:cs="Times New Roman"/>
          <w:color w:val="000000"/>
          <w:sz w:val="24"/>
          <w:szCs w:val="24"/>
        </w:rPr>
      </w:pPr>
      <w:r w:rsidRPr="009557CE">
        <w:rPr>
          <w:rFonts w:ascii="Calibri" w:eastAsia="Calibri" w:hAnsi="Calibri" w:cs="Times New Roman"/>
          <w:color w:val="000000"/>
          <w:sz w:val="24"/>
          <w:szCs w:val="24"/>
          <w:highlight w:val="yellow"/>
        </w:rPr>
        <w:t>Εγκρίθηκε με απόφαση της Συνέλευσης 42/15-11-2023 του Τμήματος Επιστήμης και Τεχνολογίας Τροφίμων</w:t>
      </w:r>
    </w:p>
    <w:p w14:paraId="6BBB6274" w14:textId="5C296C84" w:rsidR="00A8258F" w:rsidRPr="00A8258F" w:rsidRDefault="00A8258F" w:rsidP="00A8258F">
      <w:pPr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0EBCEF4F" w14:textId="77777777" w:rsidR="00A8258F" w:rsidRPr="00A8258F" w:rsidRDefault="00A8258F" w:rsidP="00A8258F">
      <w:pPr>
        <w:jc w:val="both"/>
        <w:rPr>
          <w:rFonts w:ascii="Calibri" w:eastAsia="Calibri" w:hAnsi="Calibri" w:cs="Times New Roman"/>
          <w:b/>
          <w:bCs/>
          <w:color w:val="4472C4"/>
          <w:sz w:val="24"/>
          <w:szCs w:val="24"/>
        </w:rPr>
      </w:pPr>
    </w:p>
    <w:p w14:paraId="01356439" w14:textId="77777777" w:rsidR="00A8258F" w:rsidRDefault="00A8258F" w:rsidP="00A8258F">
      <w:pPr>
        <w:jc w:val="both"/>
        <w:rPr>
          <w:rFonts w:ascii="Calibri" w:eastAsia="Calibri" w:hAnsi="Calibri" w:cs="Times New Roman"/>
          <w:b/>
          <w:bCs/>
          <w:color w:val="4472C4"/>
          <w:sz w:val="24"/>
          <w:szCs w:val="24"/>
        </w:rPr>
      </w:pPr>
    </w:p>
    <w:p w14:paraId="27D537CC" w14:textId="77777777" w:rsidR="007C580B" w:rsidRDefault="007C580B" w:rsidP="00A8258F">
      <w:pPr>
        <w:jc w:val="both"/>
        <w:rPr>
          <w:rFonts w:ascii="Calibri" w:eastAsia="Calibri" w:hAnsi="Calibri" w:cs="Times New Roman"/>
          <w:b/>
          <w:bCs/>
          <w:color w:val="4472C4"/>
          <w:sz w:val="24"/>
          <w:szCs w:val="24"/>
        </w:rPr>
      </w:pPr>
    </w:p>
    <w:p w14:paraId="1FD483E4" w14:textId="77777777" w:rsidR="007C580B" w:rsidRDefault="007C580B" w:rsidP="00A8258F">
      <w:pPr>
        <w:jc w:val="both"/>
        <w:rPr>
          <w:rFonts w:ascii="Calibri" w:eastAsia="Calibri" w:hAnsi="Calibri" w:cs="Times New Roman"/>
          <w:b/>
          <w:bCs/>
          <w:color w:val="4472C4"/>
          <w:sz w:val="24"/>
          <w:szCs w:val="24"/>
        </w:rPr>
      </w:pPr>
    </w:p>
    <w:p w14:paraId="104BBB83" w14:textId="77777777" w:rsidR="007C580B" w:rsidRPr="00A8258F" w:rsidRDefault="007C580B" w:rsidP="00A8258F">
      <w:pPr>
        <w:jc w:val="both"/>
        <w:rPr>
          <w:rFonts w:ascii="Calibri" w:eastAsia="Calibri" w:hAnsi="Calibri" w:cs="Times New Roman"/>
          <w:b/>
          <w:bCs/>
          <w:color w:val="4472C4"/>
          <w:sz w:val="24"/>
          <w:szCs w:val="24"/>
        </w:rPr>
      </w:pPr>
    </w:p>
    <w:p w14:paraId="78528CDC" w14:textId="002B40C9" w:rsidR="00A8258F" w:rsidRPr="00A8258F" w:rsidRDefault="00A8258F" w:rsidP="00A8258F">
      <w:pPr>
        <w:jc w:val="center"/>
        <w:rPr>
          <w:rFonts w:ascii="Calibri" w:eastAsia="Calibri" w:hAnsi="Calibri" w:cs="Times New Roman"/>
          <w:color w:val="000000"/>
          <w:sz w:val="24"/>
          <w:szCs w:val="24"/>
        </w:rPr>
      </w:pPr>
      <w:r w:rsidRPr="00A8258F">
        <w:rPr>
          <w:rFonts w:ascii="Calibri" w:eastAsia="Calibri" w:hAnsi="Calibri" w:cs="Times New Roman"/>
          <w:color w:val="000000"/>
          <w:sz w:val="24"/>
          <w:szCs w:val="24"/>
        </w:rPr>
        <w:t>Καλαμάτα</w:t>
      </w:r>
      <w:r w:rsidR="007C580B">
        <w:rPr>
          <w:rFonts w:ascii="Calibri" w:eastAsia="Calibri" w:hAnsi="Calibri" w:cs="Times New Roman"/>
          <w:color w:val="000000"/>
          <w:sz w:val="24"/>
          <w:szCs w:val="24"/>
        </w:rPr>
        <w:t>,</w:t>
      </w:r>
      <w:r w:rsidRPr="00A8258F">
        <w:rPr>
          <w:rFonts w:ascii="Calibri" w:eastAsia="Calibri" w:hAnsi="Calibri" w:cs="Times New Roman"/>
          <w:color w:val="000000"/>
          <w:sz w:val="24"/>
          <w:szCs w:val="24"/>
        </w:rPr>
        <w:t xml:space="preserve"> 202</w:t>
      </w:r>
      <w:r w:rsidR="007C580B">
        <w:rPr>
          <w:rFonts w:ascii="Calibri" w:eastAsia="Calibri" w:hAnsi="Calibri" w:cs="Times New Roman"/>
          <w:color w:val="000000"/>
          <w:sz w:val="24"/>
          <w:szCs w:val="24"/>
        </w:rPr>
        <w:t>6</w:t>
      </w:r>
    </w:p>
    <w:p w14:paraId="3C850DDC" w14:textId="3E99C14C" w:rsidR="002E7603" w:rsidRPr="007C0608" w:rsidRDefault="002E7603" w:rsidP="00364AB0">
      <w:pPr>
        <w:pStyle w:val="2"/>
        <w:rPr>
          <w:b w:val="0"/>
        </w:rPr>
      </w:pPr>
      <w:r w:rsidRPr="007C0608">
        <w:lastRenderedPageBreak/>
        <w:t xml:space="preserve">1. Γενικά  </w:t>
      </w:r>
    </w:p>
    <w:p w14:paraId="397341E6" w14:textId="2E8D2236" w:rsidR="003D020C" w:rsidRDefault="003D020C" w:rsidP="007C0608">
      <w:pPr>
        <w:jc w:val="both"/>
      </w:pPr>
      <w:r>
        <w:t>Σύμφωνα με τον εσωτερικό κανονισμό του Πανεπιστημίου Πελοποννήσου οι</w:t>
      </w:r>
      <w:r w:rsidR="0056667F">
        <w:t xml:space="preserve"> Ακαδημαϊκοί</w:t>
      </w:r>
      <w:r>
        <w:t xml:space="preserve"> </w:t>
      </w:r>
      <w:r w:rsidR="0056667F">
        <w:t>Σ</w:t>
      </w:r>
      <w:r>
        <w:t xml:space="preserve">ύμβουλοι </w:t>
      </w:r>
      <w:r w:rsidR="0056667F">
        <w:t>Σ</w:t>
      </w:r>
      <w:r>
        <w:t xml:space="preserve">πουδών </w:t>
      </w:r>
      <w:r w:rsidRPr="00D973AB">
        <w:rPr>
          <w:highlight w:val="yellow"/>
        </w:rPr>
        <w:t>είναι καθηγητές</w:t>
      </w:r>
      <w:r w:rsidR="008509DB" w:rsidRPr="00D973AB">
        <w:rPr>
          <w:color w:val="0070C0"/>
          <w:highlight w:val="yellow"/>
          <w:vertAlign w:val="superscript"/>
        </w:rPr>
        <w:t>1</w:t>
      </w:r>
      <w:r w:rsidRPr="00D973AB">
        <w:rPr>
          <w:highlight w:val="yellow"/>
        </w:rPr>
        <w:t xml:space="preserve"> του Τμήματος</w:t>
      </w:r>
      <w:r>
        <w:t>, που παρέχουν σε φοιτητές, χωρίς πρόσθετη αμοιβή, υπηρεσίες προσανατολισμού, συμβουλευτικής και υποστήριξης με έμφαση σε θέματα σπουδών και φοίτησης, καθοδηγώντας και υποστηρίζοντας τους φοιτητές στα προγράμματα σπουδών τους.</w:t>
      </w:r>
    </w:p>
    <w:p w14:paraId="7811FA7C" w14:textId="37F4B92B" w:rsidR="00AC2319" w:rsidRDefault="003D020C" w:rsidP="007C0608">
      <w:pPr>
        <w:jc w:val="both"/>
      </w:pPr>
      <w:r w:rsidRPr="003D020C">
        <w:t xml:space="preserve">Ο </w:t>
      </w:r>
      <w:r w:rsidR="0056667F">
        <w:t xml:space="preserve">Ακαδημαϊκός </w:t>
      </w:r>
      <w:r w:rsidRPr="003D020C">
        <w:t xml:space="preserve">Σύμβουλος </w:t>
      </w:r>
      <w:r>
        <w:t>Σπουδών</w:t>
      </w:r>
      <w:r w:rsidRPr="003D020C">
        <w:t xml:space="preserve"> ενημερώνεται κατά την έναρξη κάθε </w:t>
      </w:r>
      <w:r w:rsidR="007D7804">
        <w:t xml:space="preserve">κύκλου σπουδών του </w:t>
      </w:r>
      <w:r w:rsidR="009557CE">
        <w:t>ΠΜΣ</w:t>
      </w:r>
      <w:r w:rsidRPr="003D020C">
        <w:t xml:space="preserve"> </w:t>
      </w:r>
      <w:r w:rsidR="00D47CDA">
        <w:t>για</w:t>
      </w:r>
      <w:r w:rsidR="000B251B">
        <w:t>:</w:t>
      </w:r>
    </w:p>
    <w:p w14:paraId="67CC9BD2" w14:textId="6F761220" w:rsidR="00AC2319" w:rsidRDefault="00D47CDA" w:rsidP="00AC2319">
      <w:pPr>
        <w:pStyle w:val="a3"/>
        <w:numPr>
          <w:ilvl w:val="0"/>
          <w:numId w:val="2"/>
        </w:numPr>
        <w:jc w:val="both"/>
      </w:pPr>
      <w:r>
        <w:t xml:space="preserve">την </w:t>
      </w:r>
      <w:r w:rsidR="003D020C" w:rsidRPr="003D020C">
        <w:t>ομάδα φοιτητ</w:t>
      </w:r>
      <w:r>
        <w:t>ών</w:t>
      </w:r>
      <w:r w:rsidR="003D020C" w:rsidRPr="003D020C">
        <w:t xml:space="preserve"> </w:t>
      </w:r>
      <w:r w:rsidR="003D020C">
        <w:t>που αναλαμβάνει</w:t>
      </w:r>
    </w:p>
    <w:p w14:paraId="795FCCF7" w14:textId="77777777" w:rsidR="00AC2319" w:rsidRDefault="003D020C" w:rsidP="00AC2319">
      <w:pPr>
        <w:pStyle w:val="a3"/>
        <w:numPr>
          <w:ilvl w:val="0"/>
          <w:numId w:val="2"/>
        </w:numPr>
        <w:jc w:val="both"/>
      </w:pPr>
      <w:r w:rsidRPr="003D020C">
        <w:t>τις διευθύνσεις ηλεκτρονικού ταχυδρομείου των φοιτητών που του έχουν ανατεθεί</w:t>
      </w:r>
    </w:p>
    <w:p w14:paraId="2278A762" w14:textId="32B7BA21" w:rsidR="00AC2319" w:rsidRDefault="000B251B" w:rsidP="00AC2319">
      <w:pPr>
        <w:pStyle w:val="a3"/>
        <w:numPr>
          <w:ilvl w:val="0"/>
          <w:numId w:val="2"/>
        </w:numPr>
        <w:jc w:val="both"/>
      </w:pPr>
      <w:r>
        <w:t xml:space="preserve">την υποχρέωση να </w:t>
      </w:r>
      <w:r w:rsidR="003D020C" w:rsidRPr="003D020C">
        <w:t>διαγράφει όσους από τους παλαιότερους φοιτητές του έχουν ήδη αποφοιτήσει</w:t>
      </w:r>
      <w:r w:rsidR="003D020C">
        <w:t xml:space="preserve"> </w:t>
      </w:r>
    </w:p>
    <w:p w14:paraId="459D7A31" w14:textId="1D33E3EB" w:rsidR="00AC2319" w:rsidRDefault="000B251B" w:rsidP="00AC2319">
      <w:pPr>
        <w:pStyle w:val="a3"/>
        <w:numPr>
          <w:ilvl w:val="0"/>
          <w:numId w:val="2"/>
        </w:numPr>
        <w:jc w:val="both"/>
      </w:pPr>
      <w:r>
        <w:t xml:space="preserve">να </w:t>
      </w:r>
      <w:r w:rsidR="003D020C" w:rsidRPr="003D020C">
        <w:t>ανακοινώνει στην ιστοσελίδα του Τμήματος συγκεκριμένες ημέρες/ώρες κατά τις οποίες δέχεται τους φοιτητές που συμβουλεύει</w:t>
      </w:r>
    </w:p>
    <w:p w14:paraId="6DBC1127" w14:textId="31911360" w:rsidR="003D020C" w:rsidRDefault="003D020C" w:rsidP="007C0608">
      <w:pPr>
        <w:jc w:val="both"/>
      </w:pPr>
      <w:bookmarkStart w:id="1" w:name="_Hlk153376222"/>
      <w:r w:rsidRPr="000B251B">
        <w:rPr>
          <w:highlight w:val="yellow"/>
        </w:rPr>
        <w:t xml:space="preserve">Ως </w:t>
      </w:r>
      <w:r w:rsidR="0056667F" w:rsidRPr="000B251B">
        <w:rPr>
          <w:highlight w:val="yellow"/>
        </w:rPr>
        <w:t xml:space="preserve">Ακαδημαϊκοί </w:t>
      </w:r>
      <w:r w:rsidRPr="000B251B">
        <w:rPr>
          <w:highlight w:val="yellow"/>
        </w:rPr>
        <w:t xml:space="preserve">Σύμβουλοι Σπουδών </w:t>
      </w:r>
      <w:r w:rsidR="003F7795" w:rsidRPr="000B251B">
        <w:rPr>
          <w:highlight w:val="yellow"/>
        </w:rPr>
        <w:t>αναλαμβάνουν</w:t>
      </w:r>
      <w:r w:rsidRPr="000B251B">
        <w:rPr>
          <w:highlight w:val="yellow"/>
        </w:rPr>
        <w:t xml:space="preserve"> </w:t>
      </w:r>
      <w:r w:rsidR="00AC2319" w:rsidRPr="000B251B">
        <w:rPr>
          <w:highlight w:val="yellow"/>
        </w:rPr>
        <w:t xml:space="preserve">διδάσκοντες του </w:t>
      </w:r>
      <w:r w:rsidR="009557CE" w:rsidRPr="000B251B">
        <w:rPr>
          <w:highlight w:val="yellow"/>
        </w:rPr>
        <w:t>ΠΜΣ</w:t>
      </w:r>
      <w:r w:rsidR="00AC2319" w:rsidRPr="000B251B">
        <w:rPr>
          <w:highlight w:val="yellow"/>
        </w:rPr>
        <w:t xml:space="preserve"> που είναι μέλη</w:t>
      </w:r>
      <w:r w:rsidRPr="000B251B">
        <w:rPr>
          <w:highlight w:val="yellow"/>
        </w:rPr>
        <w:t xml:space="preserve"> </w:t>
      </w:r>
      <w:r w:rsidR="00AC2319" w:rsidRPr="000B251B">
        <w:rPr>
          <w:highlight w:val="yellow"/>
        </w:rPr>
        <w:t xml:space="preserve">ΔΕΠ </w:t>
      </w:r>
      <w:r w:rsidRPr="000B251B">
        <w:rPr>
          <w:highlight w:val="yellow"/>
        </w:rPr>
        <w:t xml:space="preserve">του Τμήματος </w:t>
      </w:r>
      <w:r w:rsidR="00AC2319" w:rsidRPr="000B251B">
        <w:rPr>
          <w:highlight w:val="yellow"/>
        </w:rPr>
        <w:t xml:space="preserve">Επιστήμης και Τεχνολογίας Τροφίμων του </w:t>
      </w:r>
      <w:r w:rsidR="00757709" w:rsidRPr="000B251B">
        <w:rPr>
          <w:highlight w:val="yellow"/>
        </w:rPr>
        <w:t>Π</w:t>
      </w:r>
      <w:r w:rsidR="00AC2319" w:rsidRPr="000B251B">
        <w:rPr>
          <w:highlight w:val="yellow"/>
        </w:rPr>
        <w:t>ανεπιστημίου Πελοποννήσου</w:t>
      </w:r>
      <w:r w:rsidR="00AC2319">
        <w:t xml:space="preserve"> </w:t>
      </w:r>
      <w:r>
        <w:t xml:space="preserve">εκτός και αν κάποιο μέλος </w:t>
      </w:r>
      <w:r w:rsidR="003F7795">
        <w:t xml:space="preserve">εξαιρεθεί με αιτιολογημένη απόφαση της Συνέλευσης του Τμήματος. Η κατανομή των </w:t>
      </w:r>
      <w:proofErr w:type="spellStart"/>
      <w:r w:rsidR="007D7804">
        <w:t>νεοεισαχθέντων</w:t>
      </w:r>
      <w:proofErr w:type="spellEnd"/>
      <w:r w:rsidR="007D7804">
        <w:t xml:space="preserve"> μεταπτυχιακών</w:t>
      </w:r>
      <w:r w:rsidR="003F7795">
        <w:t xml:space="preserve"> φοιτητών σε κάθε Σύμβουλο Σπουδών γίνεται </w:t>
      </w:r>
      <w:r w:rsidR="007D7804">
        <w:t xml:space="preserve">με την </w:t>
      </w:r>
      <w:r w:rsidR="007D7804" w:rsidRPr="007D7804">
        <w:t xml:space="preserve">έναρξη κάθε κύκλου σπουδών </w:t>
      </w:r>
      <w:r w:rsidR="003F7795">
        <w:t xml:space="preserve">από τον </w:t>
      </w:r>
      <w:bookmarkStart w:id="2" w:name="_Hlk152745812"/>
      <w:r w:rsidR="007D7804">
        <w:t xml:space="preserve">Διευθυντή του </w:t>
      </w:r>
      <w:r w:rsidR="009557CE">
        <w:t>ΠΜΣ</w:t>
      </w:r>
      <w:r w:rsidR="00A71B19">
        <w:t>.</w:t>
      </w:r>
    </w:p>
    <w:bookmarkEnd w:id="1"/>
    <w:bookmarkEnd w:id="2"/>
    <w:p w14:paraId="3868156F" w14:textId="7EB52C91" w:rsidR="003D020C" w:rsidRPr="007C0608" w:rsidRDefault="002E7603" w:rsidP="00364AB0">
      <w:pPr>
        <w:pStyle w:val="2"/>
        <w:rPr>
          <w:b w:val="0"/>
        </w:rPr>
      </w:pPr>
      <w:r w:rsidRPr="007C0608">
        <w:t xml:space="preserve">2. </w:t>
      </w:r>
      <w:r w:rsidR="003D020C" w:rsidRPr="007C0608">
        <w:t xml:space="preserve">Ρόλος του </w:t>
      </w:r>
      <w:r w:rsidR="0056667F">
        <w:t xml:space="preserve">Ακαδημαϊκού </w:t>
      </w:r>
      <w:r w:rsidR="003D020C" w:rsidRPr="007C0608">
        <w:t>Σ</w:t>
      </w:r>
      <w:r w:rsidR="00B22062">
        <w:t>υ</w:t>
      </w:r>
      <w:r w:rsidR="003D020C" w:rsidRPr="007C0608">
        <w:t>μβο</w:t>
      </w:r>
      <w:r w:rsidR="00B22062">
        <w:t>ύ</w:t>
      </w:r>
      <w:r w:rsidR="003D020C" w:rsidRPr="007C0608">
        <w:t>λου Σπουδών</w:t>
      </w:r>
    </w:p>
    <w:p w14:paraId="0C0B0A23" w14:textId="18254488" w:rsidR="003D020C" w:rsidRDefault="003D020C" w:rsidP="007C0608">
      <w:pPr>
        <w:jc w:val="both"/>
      </w:pPr>
      <w:r>
        <w:t xml:space="preserve">Ο </w:t>
      </w:r>
      <w:r w:rsidR="0056667F">
        <w:t xml:space="preserve">Ακαδημαϊκός </w:t>
      </w:r>
      <w:r>
        <w:t xml:space="preserve">Σύμβουλος Σπουδών επιλέγει τον τρόπο προσέγγισης και βοήθειας των φοιτητών που του ανατίθενται. Ως ελάχιστη κοινή προσέγγιση των φοιτητών, το </w:t>
      </w:r>
      <w:r w:rsidR="009557CE">
        <w:t>ΠΜΣ</w:t>
      </w:r>
      <w:r>
        <w:t xml:space="preserve"> ζητάει από τους </w:t>
      </w:r>
      <w:r w:rsidR="0056667F">
        <w:t xml:space="preserve">Ακαδημαϊκούς </w:t>
      </w:r>
      <w:r>
        <w:t xml:space="preserve">Συμβούλους Καθηγητές να ενημερώνουν και να συμβουλεύουν </w:t>
      </w:r>
      <w:r w:rsidR="00AC2319">
        <w:t>τους μετα</w:t>
      </w:r>
      <w:r w:rsidR="007D7804">
        <w:t>πτ</w:t>
      </w:r>
      <w:r w:rsidR="00AC2319">
        <w:t>υχιακούς</w:t>
      </w:r>
      <w:r>
        <w:t xml:space="preserve"> φοιτητές για όλα τα παρακάτω:</w:t>
      </w:r>
    </w:p>
    <w:p w14:paraId="35A42E00" w14:textId="0787BF6E" w:rsidR="00AC2319" w:rsidRDefault="003D020C" w:rsidP="007D7804">
      <w:pPr>
        <w:jc w:val="both"/>
      </w:pPr>
      <w:r>
        <w:t>•</w:t>
      </w:r>
      <w:r>
        <w:tab/>
        <w:t xml:space="preserve">Περιεχόμενο μαθημάτων, συμμετοχή σε εργαστήρια, αξιοποίηση των υποδομών του </w:t>
      </w:r>
      <w:r w:rsidR="009557CE">
        <w:t>ΠΜΣ</w:t>
      </w:r>
      <w:r>
        <w:t xml:space="preserve">, δυσκολίες, τρόποι αξιολόγησης μαθημάτων, ενθάρρυνση του φοιτητή να συμμετέχει </w:t>
      </w:r>
      <w:r w:rsidR="007D7804">
        <w:t>ενεργά στην εκπαιδευτική διαδικασία</w:t>
      </w:r>
      <w:r w:rsidR="003F7795">
        <w:t xml:space="preserve">, προβλήματα στο ωρολόγιο πρόγραμμα, </w:t>
      </w:r>
      <w:r>
        <w:t xml:space="preserve">που βοηθούν τον φοιτητή να κατανοήσει </w:t>
      </w:r>
      <w:r w:rsidR="00D47CDA" w:rsidRPr="00D47CDA">
        <w:t>τον τρόπο διδασκαλίας και εξέτασης των μαθημάτων.</w:t>
      </w:r>
      <w:r>
        <w:t xml:space="preserve"> </w:t>
      </w:r>
    </w:p>
    <w:p w14:paraId="7D1409EA" w14:textId="68C2DB2A" w:rsidR="003D020C" w:rsidRDefault="003D020C" w:rsidP="00307AD2">
      <w:pPr>
        <w:tabs>
          <w:tab w:val="left" w:pos="426"/>
        </w:tabs>
        <w:spacing w:line="240" w:lineRule="auto"/>
        <w:jc w:val="both"/>
      </w:pPr>
      <w:r>
        <w:t>•</w:t>
      </w:r>
      <w:r>
        <w:tab/>
        <w:t>Συζήτηση των αποτελεσμάτων των εξετάσεων</w:t>
      </w:r>
    </w:p>
    <w:p w14:paraId="04CD5444" w14:textId="165EB839" w:rsidR="003D020C" w:rsidRDefault="003D020C" w:rsidP="00307AD2">
      <w:pPr>
        <w:tabs>
          <w:tab w:val="left" w:pos="426"/>
        </w:tabs>
        <w:spacing w:line="240" w:lineRule="auto"/>
        <w:jc w:val="both"/>
      </w:pPr>
      <w:r>
        <w:t>•</w:t>
      </w:r>
      <w:r>
        <w:tab/>
        <w:t xml:space="preserve">Επιλογή θέματος </w:t>
      </w:r>
      <w:r w:rsidR="007D7804">
        <w:t>Διπλωματικής</w:t>
      </w:r>
      <w:r>
        <w:t xml:space="preserve"> εργασίας</w:t>
      </w:r>
    </w:p>
    <w:p w14:paraId="54266ABA" w14:textId="4ACE0DA4" w:rsidR="003D020C" w:rsidRDefault="003D020C" w:rsidP="00307AD2">
      <w:pPr>
        <w:tabs>
          <w:tab w:val="left" w:pos="426"/>
        </w:tabs>
        <w:spacing w:line="240" w:lineRule="auto"/>
        <w:jc w:val="both"/>
      </w:pPr>
      <w:r>
        <w:t>•</w:t>
      </w:r>
      <w:r>
        <w:tab/>
      </w:r>
      <w:r w:rsidR="007D7804">
        <w:t>Επιλογές για Διδακτορικές</w:t>
      </w:r>
      <w:r>
        <w:t xml:space="preserve"> σπουδές (στο Τμήμα, στην Ελλάδα ή/και στο εξωτερικό)</w:t>
      </w:r>
    </w:p>
    <w:p w14:paraId="60D939FC" w14:textId="5DEE297D" w:rsidR="003D020C" w:rsidRDefault="003D020C" w:rsidP="00307AD2">
      <w:pPr>
        <w:tabs>
          <w:tab w:val="left" w:pos="426"/>
        </w:tabs>
        <w:spacing w:line="240" w:lineRule="auto"/>
        <w:ind w:left="426" w:hanging="426"/>
        <w:jc w:val="both"/>
      </w:pPr>
      <w:r>
        <w:t>•</w:t>
      </w:r>
      <w:r>
        <w:tab/>
        <w:t>Επαγγελματικές προοπτικές (ευκαιρίες στον δημόσιο και στον ιδιωτικό τομέα, ελεύθερο επάγγελμα, θέσεις εργασίας στο εξωτερικό)</w:t>
      </w:r>
    </w:p>
    <w:p w14:paraId="081CD0ED" w14:textId="5249AB67" w:rsidR="007D7804" w:rsidRDefault="003D020C" w:rsidP="00307AD2">
      <w:pPr>
        <w:tabs>
          <w:tab w:val="left" w:pos="426"/>
        </w:tabs>
        <w:spacing w:line="240" w:lineRule="auto"/>
        <w:ind w:left="426" w:hanging="426"/>
        <w:jc w:val="both"/>
      </w:pPr>
      <w:r>
        <w:t>•</w:t>
      </w:r>
      <w:r>
        <w:tab/>
        <w:t>Συζήτηση οποιουδήποτε οικογενειακού, προσωπικού ή άλλου θέματος το οποίο δημιουργεί εμπόδια στις σπουδές</w:t>
      </w:r>
    </w:p>
    <w:p w14:paraId="26519050" w14:textId="77777777" w:rsidR="00307AD2" w:rsidRDefault="00307AD2" w:rsidP="00307AD2">
      <w:pPr>
        <w:jc w:val="both"/>
      </w:pPr>
      <w:r>
        <w:t>Ο Ακαδημαϊκός Σύμβουλος Σπουδών μπορεί να έρθει σε επικοινωνία με τους οικείους του φοιτητή διατηρώντας πάντα το ακαδημαϊκό απόρρητο και την προστασία των προσωπικών δεδομένων.</w:t>
      </w:r>
    </w:p>
    <w:p w14:paraId="73ABDAF1" w14:textId="36BD58AA" w:rsidR="0056667F" w:rsidRPr="008509DB" w:rsidRDefault="0056667F" w:rsidP="0056667F">
      <w:pPr>
        <w:pBdr>
          <w:top w:val="single" w:sz="4" w:space="1" w:color="auto"/>
        </w:pBdr>
        <w:spacing w:before="120" w:after="0" w:line="247" w:lineRule="auto"/>
        <w:jc w:val="both"/>
        <w:rPr>
          <w:i/>
          <w:iCs/>
          <w:sz w:val="20"/>
          <w:szCs w:val="20"/>
        </w:rPr>
      </w:pPr>
      <w:r w:rsidRPr="008509DB">
        <w:rPr>
          <w:i/>
          <w:iCs/>
          <w:color w:val="0070C0"/>
          <w:sz w:val="20"/>
          <w:szCs w:val="20"/>
          <w:vertAlign w:val="superscript"/>
        </w:rPr>
        <w:t>1</w:t>
      </w:r>
      <w:r w:rsidRPr="008509DB">
        <w:rPr>
          <w:i/>
          <w:iCs/>
          <w:sz w:val="20"/>
          <w:szCs w:val="20"/>
          <w:vertAlign w:val="superscript"/>
        </w:rPr>
        <w:t xml:space="preserve"> </w:t>
      </w:r>
      <w:r w:rsidRPr="008509DB">
        <w:rPr>
          <w:i/>
          <w:iCs/>
          <w:sz w:val="20"/>
          <w:szCs w:val="20"/>
        </w:rPr>
        <w:t>Σε όλο το κείμενο όπου αναφέρεται το αρσενικό φοιτητής, διδάσκων, διευθυντής κ.τ.λ.. εννοεί και το θηλυκό φοιτήτρια, διδάσκουσα,  διευθύντρια κ</w:t>
      </w:r>
      <w:r>
        <w:rPr>
          <w:i/>
          <w:iCs/>
          <w:sz w:val="20"/>
          <w:szCs w:val="20"/>
        </w:rPr>
        <w:t>.</w:t>
      </w:r>
      <w:r w:rsidRPr="008509DB">
        <w:rPr>
          <w:i/>
          <w:iCs/>
          <w:sz w:val="20"/>
          <w:szCs w:val="20"/>
        </w:rPr>
        <w:t>τ</w:t>
      </w:r>
      <w:r>
        <w:rPr>
          <w:i/>
          <w:iCs/>
          <w:sz w:val="20"/>
          <w:szCs w:val="20"/>
        </w:rPr>
        <w:t>.</w:t>
      </w:r>
      <w:r w:rsidRPr="008509DB">
        <w:rPr>
          <w:i/>
          <w:iCs/>
          <w:sz w:val="20"/>
          <w:szCs w:val="20"/>
        </w:rPr>
        <w:t xml:space="preserve">λ. </w:t>
      </w:r>
    </w:p>
    <w:p w14:paraId="5E297580" w14:textId="77777777" w:rsidR="0056667F" w:rsidRDefault="0056667F" w:rsidP="007C0608">
      <w:pPr>
        <w:jc w:val="both"/>
      </w:pPr>
    </w:p>
    <w:p w14:paraId="4FD78FB6" w14:textId="77777777" w:rsidR="00307AD2" w:rsidRDefault="00307AD2">
      <w:pPr>
        <w:jc w:val="both"/>
      </w:pPr>
    </w:p>
    <w:sectPr w:rsidR="00307AD2" w:rsidSect="00A8258F">
      <w:footerReference w:type="default" r:id="rId8"/>
      <w:pgSz w:w="11906" w:h="16838"/>
      <w:pgMar w:top="1440" w:right="1133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AEBAD" w14:textId="77777777" w:rsidR="00B42109" w:rsidRDefault="00B42109" w:rsidP="00402D4E">
      <w:pPr>
        <w:spacing w:after="0" w:line="240" w:lineRule="auto"/>
      </w:pPr>
      <w:r>
        <w:separator/>
      </w:r>
    </w:p>
  </w:endnote>
  <w:endnote w:type="continuationSeparator" w:id="0">
    <w:p w14:paraId="384D8682" w14:textId="77777777" w:rsidR="00B42109" w:rsidRDefault="00B42109" w:rsidP="0040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A9B4" w14:textId="79F29617" w:rsidR="00402D4E" w:rsidRPr="007C580B" w:rsidRDefault="007C580B" w:rsidP="007C580B">
    <w:pPr>
      <w:pStyle w:val="a5"/>
    </w:pPr>
    <w:r>
      <w:rPr>
        <w:noProof/>
      </w:rPr>
      <w:drawing>
        <wp:inline distT="0" distB="0" distL="0" distR="0" wp14:anchorId="0F6F5F9F" wp14:editId="3CF76536">
          <wp:extent cx="5944235" cy="463550"/>
          <wp:effectExtent l="0" t="0" r="0" b="0"/>
          <wp:docPr id="2143819783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0F1F0" w14:textId="77777777" w:rsidR="00B42109" w:rsidRDefault="00B42109" w:rsidP="00402D4E">
      <w:pPr>
        <w:spacing w:after="0" w:line="240" w:lineRule="auto"/>
      </w:pPr>
      <w:r>
        <w:separator/>
      </w:r>
    </w:p>
  </w:footnote>
  <w:footnote w:type="continuationSeparator" w:id="0">
    <w:p w14:paraId="4E875601" w14:textId="77777777" w:rsidR="00B42109" w:rsidRDefault="00B42109" w:rsidP="00402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419C9"/>
    <w:multiLevelType w:val="hybridMultilevel"/>
    <w:tmpl w:val="F8A6A3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D41BA"/>
    <w:multiLevelType w:val="hybridMultilevel"/>
    <w:tmpl w:val="8CE0F9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64A16"/>
    <w:multiLevelType w:val="multilevel"/>
    <w:tmpl w:val="BE94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040285">
    <w:abstractNumId w:val="2"/>
  </w:num>
  <w:num w:numId="2" w16cid:durableId="1973823700">
    <w:abstractNumId w:val="1"/>
  </w:num>
  <w:num w:numId="3" w16cid:durableId="1839735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20C"/>
    <w:rsid w:val="0008528E"/>
    <w:rsid w:val="000B251B"/>
    <w:rsid w:val="00137DC9"/>
    <w:rsid w:val="00176E86"/>
    <w:rsid w:val="0023795C"/>
    <w:rsid w:val="00276BFC"/>
    <w:rsid w:val="00287400"/>
    <w:rsid w:val="002B32D6"/>
    <w:rsid w:val="002E7603"/>
    <w:rsid w:val="00307AD2"/>
    <w:rsid w:val="00364AB0"/>
    <w:rsid w:val="003D020C"/>
    <w:rsid w:val="003F7795"/>
    <w:rsid w:val="00402D4E"/>
    <w:rsid w:val="004A092C"/>
    <w:rsid w:val="00513276"/>
    <w:rsid w:val="0056667F"/>
    <w:rsid w:val="005F365B"/>
    <w:rsid w:val="00757709"/>
    <w:rsid w:val="00761C05"/>
    <w:rsid w:val="007C0608"/>
    <w:rsid w:val="007C580B"/>
    <w:rsid w:val="007D7804"/>
    <w:rsid w:val="00830875"/>
    <w:rsid w:val="008509DB"/>
    <w:rsid w:val="00921FAA"/>
    <w:rsid w:val="0095331E"/>
    <w:rsid w:val="009557CE"/>
    <w:rsid w:val="009D5EC9"/>
    <w:rsid w:val="00A71B19"/>
    <w:rsid w:val="00A8258F"/>
    <w:rsid w:val="00AC2319"/>
    <w:rsid w:val="00B069B8"/>
    <w:rsid w:val="00B22062"/>
    <w:rsid w:val="00B248BF"/>
    <w:rsid w:val="00B42109"/>
    <w:rsid w:val="00B73F1A"/>
    <w:rsid w:val="00CF1F22"/>
    <w:rsid w:val="00D47CDA"/>
    <w:rsid w:val="00D973AB"/>
    <w:rsid w:val="00ED4028"/>
    <w:rsid w:val="00F2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626B1"/>
  <w15:chartTrackingRefBased/>
  <w15:docId w15:val="{44E2F197-4499-4431-B5CC-79848BDE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364A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364AB0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AC231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02D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02D4E"/>
  </w:style>
  <w:style w:type="paragraph" w:styleId="a5">
    <w:name w:val="footer"/>
    <w:basedOn w:val="a"/>
    <w:link w:val="Char0"/>
    <w:uiPriority w:val="99"/>
    <w:unhideWhenUsed/>
    <w:rsid w:val="00402D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02D4E"/>
  </w:style>
  <w:style w:type="paragraph" w:styleId="a6">
    <w:name w:val="Revision"/>
    <w:hidden/>
    <w:uiPriority w:val="99"/>
    <w:semiHidden/>
    <w:rsid w:val="0095331E"/>
    <w:pPr>
      <w:spacing w:after="0" w:line="240" w:lineRule="auto"/>
    </w:pPr>
  </w:style>
  <w:style w:type="paragraph" w:styleId="a7">
    <w:name w:val="Intense Quote"/>
    <w:basedOn w:val="a"/>
    <w:next w:val="a"/>
    <w:link w:val="Char1"/>
    <w:uiPriority w:val="30"/>
    <w:qFormat/>
    <w:rsid w:val="0095331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1">
    <w:name w:val="Έντονο απόσπ. Char"/>
    <w:basedOn w:val="a0"/>
    <w:link w:val="a7"/>
    <w:uiPriority w:val="30"/>
    <w:rsid w:val="0095331E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IOAKEIM SPILIOPOULOS</dc:creator>
  <cp:keywords/>
  <dc:description/>
  <cp:lastModifiedBy>Lampros Farmakis</cp:lastModifiedBy>
  <cp:revision>2</cp:revision>
  <dcterms:created xsi:type="dcterms:W3CDTF">2026-05-01T10:35:00Z</dcterms:created>
  <dcterms:modified xsi:type="dcterms:W3CDTF">2026-05-01T10:35:00Z</dcterms:modified>
</cp:coreProperties>
</file>